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E97BA5" w14:paraId="10CC6C32" w14:textId="77777777" w:rsidTr="0037275D">
        <w:tc>
          <w:tcPr>
            <w:tcW w:w="3544" w:type="dxa"/>
            <w:tcBorders>
              <w:bottom w:val="single" w:sz="4" w:space="0" w:color="auto"/>
            </w:tcBorders>
          </w:tcPr>
          <w:p w14:paraId="688B0ECF" w14:textId="77777777" w:rsidR="00EA1F9D" w:rsidRPr="00E97BA5" w:rsidRDefault="00F66E71">
            <w:p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50DFBA9" wp14:editId="647C7D80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9C408F8" w14:textId="77777777" w:rsidR="0037275D" w:rsidRPr="00E97BA5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BA5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</w:t>
            </w:r>
            <w:r w:rsidR="00AF3AF2" w:rsidRPr="00E97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BA5">
              <w:rPr>
                <w:rFonts w:ascii="Arial" w:hAnsi="Arial" w:cs="Arial"/>
                <w:sz w:val="22"/>
                <w:szCs w:val="22"/>
              </w:rPr>
              <w:t>‘the people's game', a key part of England's heritage and way</w:t>
            </w:r>
            <w:r w:rsidR="00523103" w:rsidRPr="00E97BA5">
              <w:rPr>
                <w:rFonts w:ascii="Arial" w:hAnsi="Arial" w:cs="Arial"/>
                <w:sz w:val="22"/>
                <w:szCs w:val="22"/>
              </w:rPr>
              <w:t xml:space="preserve"> of life. It </w:t>
            </w:r>
            <w:r w:rsidRPr="00E97BA5">
              <w:rPr>
                <w:rFonts w:ascii="Arial" w:hAnsi="Arial" w:cs="Arial"/>
                <w:sz w:val="22"/>
                <w:szCs w:val="22"/>
              </w:rPr>
              <w:t>also aims to explain why England is the home of football, the birthplace of the world's most popular sport.</w:t>
            </w:r>
          </w:p>
          <w:p w14:paraId="3098EFE8" w14:textId="77777777" w:rsidR="0037275D" w:rsidRPr="00E97BA5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14:paraId="76385AA4" w14:textId="77777777" w:rsidR="00523103" w:rsidRPr="00E97BA5" w:rsidRDefault="00523103" w:rsidP="0019502B">
            <w:pPr>
              <w:jc w:val="both"/>
              <w:rPr>
                <w:rFonts w:ascii="Arial" w:hAnsi="Arial" w:cs="Arial"/>
              </w:rPr>
            </w:pPr>
          </w:p>
          <w:p w14:paraId="6AFA2ABB" w14:textId="77777777" w:rsidR="004408F6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</w:t>
            </w:r>
            <w:r w:rsidR="0037275D" w:rsidRPr="00E97BA5">
              <w:rPr>
                <w:rFonts w:ascii="Arial" w:hAnsi="Arial" w:cs="Arial"/>
              </w:rPr>
              <w:t>useum is for everyone, regardless of age, gender, disability, sexuality, religion or any other factor.</w:t>
            </w:r>
          </w:p>
          <w:p w14:paraId="1A462A2B" w14:textId="77777777" w:rsidR="00EA1F9D" w:rsidRPr="00E97BA5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609714E0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D5F72F7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1CA1512" w14:textId="77777777" w:rsidR="001A367C" w:rsidRPr="00E97BA5" w:rsidRDefault="004C2737" w:rsidP="007F2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Volunteer </w:t>
            </w:r>
            <w:r w:rsidR="007F27E6">
              <w:rPr>
                <w:rFonts w:ascii="Arial" w:hAnsi="Arial" w:cs="Arial"/>
                <w:bCs/>
              </w:rPr>
              <w:t>Women’s Football Workshop</w:t>
            </w:r>
            <w:r>
              <w:rPr>
                <w:rFonts w:ascii="Arial" w:hAnsi="Arial" w:cs="Arial"/>
                <w:bCs/>
              </w:rPr>
              <w:t xml:space="preserve"> Practitioner</w:t>
            </w:r>
          </w:p>
        </w:tc>
      </w:tr>
      <w:tr w:rsidR="001A367C" w:rsidRPr="00E97BA5" w14:paraId="4C2F483A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8BE34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D7588CA" w14:textId="77777777" w:rsidR="001A367C" w:rsidRPr="00E97BA5" w:rsidRDefault="00AF3AF2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Learning &amp; Communities Coordinator</w:t>
            </w:r>
          </w:p>
          <w:p w14:paraId="110D7431" w14:textId="77777777"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22779E8A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F2BD66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758D437" w14:textId="77777777" w:rsidR="001A367C" w:rsidRPr="00E97BA5" w:rsidRDefault="007F27E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delivery of an object based workshop around the social history of women’s football.</w:t>
            </w:r>
            <w:r w:rsidR="004C27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work alongside Museum staff to set up </w:t>
            </w:r>
            <w:r w:rsidR="00297B5D">
              <w:rPr>
                <w:rFonts w:ascii="Arial" w:hAnsi="Arial" w:cs="Arial"/>
              </w:rPr>
              <w:t>the activity as well as</w:t>
            </w:r>
            <w:r>
              <w:rPr>
                <w:rFonts w:ascii="Arial" w:hAnsi="Arial" w:cs="Arial"/>
              </w:rPr>
              <w:t xml:space="preserve"> </w:t>
            </w:r>
            <w:r w:rsidR="00297B5D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engage with adult learners and family learners to encourage discussion and learning. Activities may take place at NFM or as outreach in community venues </w:t>
            </w:r>
          </w:p>
          <w:p w14:paraId="45D1F382" w14:textId="77777777"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056E8444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209E594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0B9499D" w14:textId="77777777" w:rsidR="00526300" w:rsidRPr="00E97BA5" w:rsidRDefault="00C77C23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other volunteers </w:t>
            </w:r>
            <w:r w:rsidR="007F27E6">
              <w:rPr>
                <w:rFonts w:ascii="Arial" w:hAnsi="Arial" w:cs="Arial"/>
              </w:rPr>
              <w:t xml:space="preserve">and staff </w:t>
            </w:r>
            <w:r>
              <w:rPr>
                <w:rFonts w:ascii="Arial" w:hAnsi="Arial" w:cs="Arial"/>
              </w:rPr>
              <w:t xml:space="preserve">to set up activity </w:t>
            </w:r>
          </w:p>
          <w:p w14:paraId="4F49E69F" w14:textId="77777777" w:rsidR="00526300" w:rsidRPr="00E97BA5" w:rsidRDefault="007F27E6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5F6291">
              <w:rPr>
                <w:rFonts w:ascii="Arial" w:hAnsi="Arial" w:cs="Arial"/>
              </w:rPr>
              <w:t xml:space="preserve"> collection</w:t>
            </w:r>
            <w:r>
              <w:rPr>
                <w:rFonts w:ascii="Arial" w:hAnsi="Arial" w:cs="Arial"/>
              </w:rPr>
              <w:t>s</w:t>
            </w:r>
            <w:r w:rsidR="005F6291">
              <w:rPr>
                <w:rFonts w:ascii="Arial" w:hAnsi="Arial" w:cs="Arial"/>
              </w:rPr>
              <w:t xml:space="preserve"> linked </w:t>
            </w:r>
            <w:r>
              <w:rPr>
                <w:rFonts w:ascii="Arial" w:hAnsi="Arial" w:cs="Arial"/>
              </w:rPr>
              <w:t>learning using objects</w:t>
            </w:r>
          </w:p>
          <w:p w14:paraId="612152C0" w14:textId="77777777" w:rsidR="004408F6" w:rsidRPr="00E97BA5" w:rsidRDefault="004F784A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conversation and facilitate learning</w:t>
            </w:r>
            <w:r w:rsidR="007F27E6">
              <w:rPr>
                <w:rFonts w:ascii="Arial" w:hAnsi="Arial" w:cs="Arial"/>
              </w:rPr>
              <w:t xml:space="preserve"> about the social history of the women’s game</w:t>
            </w:r>
          </w:p>
          <w:p w14:paraId="56708CA8" w14:textId="77777777" w:rsidR="00526300" w:rsidRPr="00E97BA5" w:rsidRDefault="00E97BA5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To work</w:t>
            </w:r>
            <w:r w:rsidR="00526300" w:rsidRPr="00E97BA5">
              <w:rPr>
                <w:rFonts w:ascii="Arial" w:hAnsi="Arial" w:cs="Arial"/>
              </w:rPr>
              <w:t xml:space="preserve"> within the Volunteer Agreement guidelines and related organisational policies (Child Protection and Health and Safety)</w:t>
            </w:r>
          </w:p>
          <w:p w14:paraId="36D0DB01" w14:textId="77777777" w:rsidR="001A367C" w:rsidRPr="00E97BA5" w:rsidRDefault="001A367C" w:rsidP="0052630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23FD3026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BD4E271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0FFFCAB" w14:textId="77777777" w:rsidR="001A367C" w:rsidRPr="00E97BA5" w:rsidRDefault="007F27E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 hoc depending on session booking </w:t>
            </w:r>
          </w:p>
          <w:p w14:paraId="678CEA16" w14:textId="77777777"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004B2759" w14:textId="77777777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32CF9B2" w14:textId="77777777" w:rsidR="001A367C" w:rsidRPr="00E97BA5" w:rsidRDefault="00851EA0" w:rsidP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 xml:space="preserve">Skills/Characteristics </w:t>
            </w:r>
            <w:r w:rsidR="001A367C" w:rsidRPr="00E97BA5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F73FDFA" w14:textId="77777777" w:rsidR="003C3FA5" w:rsidRPr="00E97BA5" w:rsidRDefault="00AF3AF2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Experience working with </w:t>
            </w:r>
            <w:r w:rsidR="004F784A">
              <w:rPr>
                <w:rFonts w:ascii="Arial" w:hAnsi="Arial" w:cs="Arial"/>
              </w:rPr>
              <w:t xml:space="preserve">adults </w:t>
            </w:r>
            <w:r w:rsidR="007F27E6">
              <w:rPr>
                <w:rFonts w:ascii="Arial" w:hAnsi="Arial" w:cs="Arial"/>
              </w:rPr>
              <w:t xml:space="preserve">and families </w:t>
            </w:r>
            <w:r w:rsidR="004F784A">
              <w:rPr>
                <w:rFonts w:ascii="Arial" w:hAnsi="Arial" w:cs="Arial"/>
              </w:rPr>
              <w:t>in an educational context</w:t>
            </w:r>
          </w:p>
          <w:p w14:paraId="0FE33145" w14:textId="77777777" w:rsidR="00AF3AF2" w:rsidRPr="00E97BA5" w:rsidRDefault="00AF3AF2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Experience delivering workshops </w:t>
            </w:r>
          </w:p>
          <w:p w14:paraId="19E5E88E" w14:textId="77777777" w:rsidR="003C3FA5" w:rsidRPr="00E97BA5" w:rsidRDefault="003C3FA5" w:rsidP="00AF3AF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Passion for football and</w:t>
            </w:r>
            <w:r w:rsidR="00AF3AF2" w:rsidRPr="00E97BA5">
              <w:rPr>
                <w:rFonts w:ascii="Arial" w:hAnsi="Arial" w:cs="Arial"/>
              </w:rPr>
              <w:t xml:space="preserve"> social</w:t>
            </w:r>
            <w:r w:rsidRPr="00E97BA5">
              <w:rPr>
                <w:rFonts w:ascii="Arial" w:hAnsi="Arial" w:cs="Arial"/>
              </w:rPr>
              <w:t xml:space="preserve"> history</w:t>
            </w:r>
          </w:p>
          <w:p w14:paraId="241743D0" w14:textId="77777777" w:rsidR="00422A6D" w:rsidRPr="00E97BA5" w:rsidRDefault="00E97B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Enthusiasm for heritage learning</w:t>
            </w:r>
            <w:r w:rsidR="004F784A">
              <w:rPr>
                <w:rFonts w:ascii="Arial" w:hAnsi="Arial" w:cs="Arial"/>
              </w:rPr>
              <w:t xml:space="preserve"> and creativity</w:t>
            </w:r>
          </w:p>
          <w:p w14:paraId="2B914D31" w14:textId="77777777" w:rsidR="00851EA0" w:rsidRPr="00E97BA5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14:paraId="56C170C9" w14:textId="77777777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312CF0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F95E874" w14:textId="77777777" w:rsidR="00914C76" w:rsidRPr="00E97BA5" w:rsidRDefault="004F784A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Volunteer</w:t>
            </w:r>
            <w:r w:rsidR="00003976">
              <w:rPr>
                <w:rFonts w:ascii="Arial" w:hAnsi="Arial" w:cs="Arial"/>
                <w:bCs/>
              </w:rPr>
              <w:t>s will be trained in object handling skills and the history of women’s football. Vo</w:t>
            </w:r>
            <w:r>
              <w:rPr>
                <w:rFonts w:ascii="Arial" w:hAnsi="Arial" w:cs="Arial"/>
              </w:rPr>
              <w:t xml:space="preserve">lunteers will also receive </w:t>
            </w:r>
            <w:r w:rsidR="00914C76" w:rsidRPr="00E97BA5">
              <w:rPr>
                <w:rFonts w:ascii="Arial" w:hAnsi="Arial" w:cs="Arial"/>
              </w:rPr>
              <w:t>a full induction to the volunteer programme</w:t>
            </w:r>
            <w:r w:rsidR="00955EB8" w:rsidRPr="00E97BA5">
              <w:rPr>
                <w:rFonts w:ascii="Arial" w:hAnsi="Arial" w:cs="Arial"/>
              </w:rPr>
              <w:t>;</w:t>
            </w:r>
            <w:r w:rsidR="00914C76" w:rsidRPr="00E97BA5">
              <w:rPr>
                <w:rFonts w:ascii="Arial" w:hAnsi="Arial" w:cs="Arial"/>
              </w:rPr>
              <w:t xml:space="preserve"> including health and safety and fire evacuation</w:t>
            </w:r>
            <w:r>
              <w:rPr>
                <w:rFonts w:ascii="Arial" w:hAnsi="Arial" w:cs="Arial"/>
              </w:rPr>
              <w:t xml:space="preserve"> </w:t>
            </w:r>
          </w:p>
          <w:p w14:paraId="55037644" w14:textId="77777777" w:rsidR="001A367C" w:rsidRPr="00E97BA5" w:rsidRDefault="003C3FA5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Training will be provided in the following areas:</w:t>
            </w:r>
          </w:p>
          <w:p w14:paraId="00DCFD87" w14:textId="77777777" w:rsidR="003C3FA5" w:rsidRPr="00E97B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Introduction to m</w:t>
            </w:r>
            <w:r w:rsidR="003C3FA5" w:rsidRPr="00E97BA5">
              <w:rPr>
                <w:rFonts w:ascii="Arial" w:hAnsi="Arial" w:cs="Arial"/>
              </w:rPr>
              <w:t>useums</w:t>
            </w:r>
          </w:p>
          <w:p w14:paraId="38F6C9F5" w14:textId="77777777" w:rsidR="003C3FA5" w:rsidRPr="00E97BA5" w:rsidRDefault="00E97B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Learning and session delivery</w:t>
            </w:r>
          </w:p>
          <w:p w14:paraId="6EAE9265" w14:textId="77777777" w:rsidR="003C3FA5" w:rsidRPr="00E97BA5" w:rsidRDefault="00523103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Disability a</w:t>
            </w:r>
            <w:r w:rsidR="00914C76" w:rsidRPr="00E97BA5">
              <w:rPr>
                <w:rFonts w:ascii="Arial" w:hAnsi="Arial" w:cs="Arial"/>
              </w:rPr>
              <w:t>wareness</w:t>
            </w:r>
          </w:p>
          <w:p w14:paraId="3A33228E" w14:textId="77777777" w:rsidR="008C36EC" w:rsidRPr="00E97BA5" w:rsidRDefault="00523103" w:rsidP="004F78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Working safely with </w:t>
            </w:r>
            <w:r w:rsidR="004F784A">
              <w:rPr>
                <w:rFonts w:ascii="Arial" w:hAnsi="Arial" w:cs="Arial"/>
              </w:rPr>
              <w:t>museum visitors and vulnerable adults</w:t>
            </w:r>
          </w:p>
        </w:tc>
      </w:tr>
      <w:tr w:rsidR="001A367C" w:rsidRPr="00E97BA5" w14:paraId="2D7C2834" w14:textId="77777777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610A8A2" w14:textId="77777777"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82231FB" w14:textId="77777777" w:rsidR="00E97BA5" w:rsidRPr="00E97BA5" w:rsidRDefault="00E97BA5" w:rsidP="00E97B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Gain experience working within museum learning</w:t>
            </w:r>
          </w:p>
          <w:p w14:paraId="32E44FF0" w14:textId="77777777" w:rsidR="00C233A6" w:rsidRPr="00E97BA5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Become</w:t>
            </w:r>
            <w:r w:rsidR="007B13A7" w:rsidRPr="00E97BA5">
              <w:rPr>
                <w:rFonts w:ascii="Arial" w:hAnsi="Arial" w:cs="Arial"/>
              </w:rPr>
              <w:t xml:space="preserve"> part of a friendly team</w:t>
            </w:r>
            <w:r w:rsidR="0078049D" w:rsidRPr="00E97BA5">
              <w:rPr>
                <w:rFonts w:ascii="Arial" w:hAnsi="Arial" w:cs="Arial"/>
              </w:rPr>
              <w:t xml:space="preserve"> of like-minded people</w:t>
            </w:r>
          </w:p>
          <w:p w14:paraId="7BDB7749" w14:textId="77777777" w:rsidR="00C233A6" w:rsidRPr="00E97BA5" w:rsidRDefault="00523103" w:rsidP="004F78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Help to share the N</w:t>
            </w:r>
            <w:r w:rsidR="0078049D" w:rsidRPr="00E97BA5">
              <w:rPr>
                <w:rFonts w:ascii="Arial" w:hAnsi="Arial" w:cs="Arial"/>
              </w:rPr>
              <w:t>ational Football Museum’s amazing collectio</w:t>
            </w:r>
            <w:r w:rsidR="00E97BA5" w:rsidRPr="00E97BA5">
              <w:rPr>
                <w:rFonts w:ascii="Arial" w:hAnsi="Arial" w:cs="Arial"/>
              </w:rPr>
              <w:t>n with community groups</w:t>
            </w:r>
          </w:p>
        </w:tc>
      </w:tr>
      <w:tr w:rsidR="00955EB8" w:rsidRPr="00E97BA5" w14:paraId="2C63E564" w14:textId="77777777" w:rsidTr="00212D92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F1F0FF6" w14:textId="77777777" w:rsidR="00955EB8" w:rsidRPr="00E97BA5" w:rsidRDefault="00E97BA5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lastRenderedPageBreak/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5B40544" w14:textId="5475A6FB"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</w:t>
            </w:r>
            <w:r w:rsidR="008641BC">
              <w:rPr>
                <w:rFonts w:ascii="Arial" w:hAnsi="Arial" w:cs="Arial"/>
              </w:rPr>
              <w:t>volunteering@nationalfootballmuseum.com</w:t>
            </w:r>
          </w:p>
          <w:p w14:paraId="563AE4AF" w14:textId="6C2D8E26" w:rsidR="00955EB8" w:rsidRPr="00E97BA5" w:rsidRDefault="008641BC" w:rsidP="00F31B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55EB8" w:rsidRPr="00E97BA5" w14:paraId="1C3D1B33" w14:textId="77777777" w:rsidTr="007B13A7">
        <w:tc>
          <w:tcPr>
            <w:tcW w:w="3544" w:type="dxa"/>
            <w:tcBorders>
              <w:top w:val="single" w:sz="4" w:space="0" w:color="auto"/>
            </w:tcBorders>
          </w:tcPr>
          <w:p w14:paraId="0F6402AD" w14:textId="77777777" w:rsidR="00955EB8" w:rsidRPr="00E97BA5" w:rsidRDefault="00955EB8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0AC7560E" w14:textId="77777777"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492B45" w14:textId="77777777" w:rsidR="00A7075D" w:rsidRPr="00E97BA5" w:rsidRDefault="008641BC">
      <w:pPr>
        <w:rPr>
          <w:rFonts w:ascii="Arial" w:hAnsi="Arial" w:cs="Arial"/>
        </w:rPr>
      </w:pPr>
      <w:bookmarkStart w:id="0" w:name="_GoBack"/>
      <w:bookmarkEnd w:id="0"/>
    </w:p>
    <w:sectPr w:rsidR="00A7075D" w:rsidRPr="00E97BA5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03976"/>
    <w:rsid w:val="000E3253"/>
    <w:rsid w:val="00120959"/>
    <w:rsid w:val="0019502B"/>
    <w:rsid w:val="001A367C"/>
    <w:rsid w:val="00243D5B"/>
    <w:rsid w:val="00297B5D"/>
    <w:rsid w:val="0037275D"/>
    <w:rsid w:val="00380115"/>
    <w:rsid w:val="003B6B22"/>
    <w:rsid w:val="003C3FA5"/>
    <w:rsid w:val="00422A6D"/>
    <w:rsid w:val="004408F6"/>
    <w:rsid w:val="004559F7"/>
    <w:rsid w:val="004C2737"/>
    <w:rsid w:val="004E1468"/>
    <w:rsid w:val="004E780B"/>
    <w:rsid w:val="004F784A"/>
    <w:rsid w:val="00523103"/>
    <w:rsid w:val="00526300"/>
    <w:rsid w:val="005B4906"/>
    <w:rsid w:val="005F6291"/>
    <w:rsid w:val="00604144"/>
    <w:rsid w:val="00691451"/>
    <w:rsid w:val="006B09C4"/>
    <w:rsid w:val="00725237"/>
    <w:rsid w:val="0076469F"/>
    <w:rsid w:val="0078049D"/>
    <w:rsid w:val="007B13A7"/>
    <w:rsid w:val="007C5822"/>
    <w:rsid w:val="007E4BF9"/>
    <w:rsid w:val="007F27E6"/>
    <w:rsid w:val="00831B44"/>
    <w:rsid w:val="00851EA0"/>
    <w:rsid w:val="008641BC"/>
    <w:rsid w:val="0088423D"/>
    <w:rsid w:val="008A3578"/>
    <w:rsid w:val="008C36EC"/>
    <w:rsid w:val="00914C76"/>
    <w:rsid w:val="00945A33"/>
    <w:rsid w:val="00955EB8"/>
    <w:rsid w:val="00985D6C"/>
    <w:rsid w:val="00987177"/>
    <w:rsid w:val="00A1196D"/>
    <w:rsid w:val="00AB16A5"/>
    <w:rsid w:val="00AD0D20"/>
    <w:rsid w:val="00AF1567"/>
    <w:rsid w:val="00AF3AF2"/>
    <w:rsid w:val="00B06DBB"/>
    <w:rsid w:val="00BC14D7"/>
    <w:rsid w:val="00C233A6"/>
    <w:rsid w:val="00C254B2"/>
    <w:rsid w:val="00C77C23"/>
    <w:rsid w:val="00CE0501"/>
    <w:rsid w:val="00CE7817"/>
    <w:rsid w:val="00D2669F"/>
    <w:rsid w:val="00DA02F7"/>
    <w:rsid w:val="00E84399"/>
    <w:rsid w:val="00E92FC9"/>
    <w:rsid w:val="00E97BA5"/>
    <w:rsid w:val="00EA1F9D"/>
    <w:rsid w:val="00F31B87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4783"/>
  <w15:docId w15:val="{764B3154-01A2-4737-9DEF-923C77E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christian.allen@nationalfootballmuseum.com</dc:creator>
  <cp:lastModifiedBy>Darren Collingwood</cp:lastModifiedBy>
  <cp:revision>4</cp:revision>
  <cp:lastPrinted>2016-05-09T10:42:00Z</cp:lastPrinted>
  <dcterms:created xsi:type="dcterms:W3CDTF">2017-05-11T08:25:00Z</dcterms:created>
  <dcterms:modified xsi:type="dcterms:W3CDTF">2017-06-16T09:15:00Z</dcterms:modified>
</cp:coreProperties>
</file>